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311D8D" w:rsidRPr="00CD7FAE" w:rsidTr="002A6EC0">
        <w:trPr>
          <w:trHeight w:val="2070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D8D" w:rsidRPr="00311D8D" w:rsidRDefault="00311D8D" w:rsidP="00311D8D">
            <w:pPr>
              <w:contextualSpacing/>
              <w:jc w:val="center"/>
              <w:rPr>
                <w:b/>
                <w:lang w:val="ru-RU"/>
              </w:rPr>
            </w:pPr>
            <w:r w:rsidRPr="00311D8D">
              <w:rPr>
                <w:b/>
                <w:lang w:val="ru-RU"/>
              </w:rPr>
              <w:t>Общество с ограниченной ответственностью</w:t>
            </w:r>
          </w:p>
          <w:p w:rsidR="00311D8D" w:rsidRPr="00311D8D" w:rsidRDefault="00311D8D" w:rsidP="00311D8D">
            <w:pPr>
              <w:contextualSpacing/>
              <w:jc w:val="center"/>
              <w:rPr>
                <w:b/>
                <w:lang w:val="ru-RU"/>
              </w:rPr>
            </w:pPr>
            <w:r w:rsidRPr="00311D8D">
              <w:rPr>
                <w:b/>
                <w:lang w:val="ru-RU"/>
              </w:rPr>
              <w:t>«Альтернативная стоматология»</w:t>
            </w:r>
          </w:p>
          <w:p w:rsidR="00311D8D" w:rsidRPr="00311D8D" w:rsidRDefault="00311D8D" w:rsidP="00311D8D">
            <w:pPr>
              <w:contextualSpacing/>
              <w:jc w:val="center"/>
              <w:rPr>
                <w:b/>
                <w:lang w:val="ru-RU"/>
              </w:rPr>
            </w:pPr>
            <w:r w:rsidRPr="00311D8D">
              <w:rPr>
                <w:b/>
                <w:lang w:val="ru-RU"/>
              </w:rPr>
              <w:t>а</w:t>
            </w:r>
            <w:r w:rsidRPr="00EC51F5">
              <w:rPr>
                <w:b/>
              </w:rPr>
              <w:t>s</w:t>
            </w:r>
            <w:r w:rsidRPr="00311D8D">
              <w:rPr>
                <w:b/>
                <w:lang w:val="ru-RU"/>
              </w:rPr>
              <w:t>2017@</w:t>
            </w:r>
            <w:r w:rsidRPr="00EC51F5">
              <w:rPr>
                <w:b/>
              </w:rPr>
              <w:t>bk</w:t>
            </w:r>
            <w:r w:rsidRPr="00311D8D">
              <w:rPr>
                <w:b/>
                <w:lang w:val="ru-RU"/>
              </w:rPr>
              <w:t>.</w:t>
            </w:r>
            <w:r w:rsidRPr="00EC51F5">
              <w:rPr>
                <w:b/>
              </w:rPr>
              <w:t>ru</w:t>
            </w:r>
            <w:r w:rsidRPr="00311D8D">
              <w:rPr>
                <w:b/>
                <w:lang w:val="ru-RU"/>
              </w:rPr>
              <w:t>. тел. 495-253-63-66,</w:t>
            </w:r>
          </w:p>
          <w:p w:rsidR="00311D8D" w:rsidRPr="00311D8D" w:rsidRDefault="00311D8D" w:rsidP="00311D8D">
            <w:pPr>
              <w:contextualSpacing/>
              <w:jc w:val="center"/>
              <w:rPr>
                <w:b/>
                <w:lang w:val="ru-RU"/>
              </w:rPr>
            </w:pPr>
            <w:r w:rsidRPr="00311D8D">
              <w:rPr>
                <w:b/>
                <w:lang w:val="ru-RU"/>
              </w:rPr>
              <w:t>форма собственности – частная партнерская, код по ОКВЭД 85.13</w:t>
            </w:r>
          </w:p>
          <w:p w:rsidR="00311D8D" w:rsidRPr="00311D8D" w:rsidRDefault="00311D8D" w:rsidP="00311D8D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1D8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_______________________________________________________________</w:t>
            </w:r>
            <w:r w:rsidRPr="00311D8D">
              <w:rPr>
                <w:sz w:val="28"/>
                <w:szCs w:val="28"/>
                <w:lang w:val="ru-RU"/>
              </w:rPr>
              <w:br/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наименование работодателя, электронная почта, контактный телефон, форма собственности и вид экономической деятельности работодателя по 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D8D" w:rsidRPr="00311D8D" w:rsidRDefault="00311D8D" w:rsidP="00311D8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0"/>
        <w:gridCol w:w="2939"/>
      </w:tblGrid>
      <w:tr w:rsidR="00E70C3E" w:rsidTr="00311D8D">
        <w:tc>
          <w:tcPr>
            <w:tcW w:w="6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Default="001E40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11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11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года</w:t>
            </w:r>
          </w:p>
        </w:tc>
        <w:tc>
          <w:tcPr>
            <w:tcW w:w="29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Default="001E408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27</w:t>
            </w:r>
          </w:p>
        </w:tc>
      </w:tr>
    </w:tbl>
    <w:p w:rsidR="00E70C3E" w:rsidRDefault="001E408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:rsidR="00E70C3E" w:rsidRDefault="001E408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E70C3E" w:rsidRPr="00311D8D" w:rsidRDefault="001E40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назначении </w:t>
      </w:r>
      <w:r w:rsid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тветственн</w:t>
      </w:r>
      <w:r w:rsid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организацию проведения предварительных и периодических медицинских осмотров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статей 22, 212, 213 Трудового кодекса и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кодекса, утвержденного приказом Минздрава от 28.01.2021 № 29н,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E70C3E" w:rsidRPr="00CD7FAE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лицами, ответственными за организацию проведения предварительных и периодических медицинских осмотров (обследований) в ООО </w:t>
      </w:r>
      <w:r w:rsidR="00311D8D" w:rsidRPr="00CD7FAE">
        <w:rPr>
          <w:sz w:val="24"/>
          <w:szCs w:val="24"/>
          <w:lang w:val="ru-RU"/>
        </w:rPr>
        <w:t>«Альтернативная стоматология»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Pr="00CD7FAE">
        <w:rPr>
          <w:rFonts w:hAnsi="Times New Roman" w:cs="Times New Roman"/>
          <w:color w:val="000000"/>
          <w:sz w:val="24"/>
          <w:szCs w:val="24"/>
        </w:rPr>
        <w:t> 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>Общество),</w:t>
      </w:r>
      <w:r w:rsidRPr="00CD7FAE">
        <w:rPr>
          <w:rFonts w:hAnsi="Times New Roman" w:cs="Times New Roman"/>
          <w:color w:val="000000"/>
          <w:sz w:val="24"/>
          <w:szCs w:val="24"/>
        </w:rPr>
        <w:t> 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охране труда 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Рыбкина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 А.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., начальника отдела кадров 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Лободенюк А.А.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, главного бухгалтера 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Яковлеву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1D8D" w:rsidRPr="00CD7FA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D7F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2. Специалисту по охране труда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Рыбкину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 А.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E70C3E" w:rsidRPr="00311D8D" w:rsidRDefault="001E40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разрабатывать и актуализировать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лиц, поступающих на работу, подлежащих предварительным осмотрам, и 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работников, подлежащих периодическим осмотрам;</w:t>
      </w:r>
    </w:p>
    <w:p w:rsidR="00E70C3E" w:rsidRPr="00311D8D" w:rsidRDefault="001E40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разрабатывать и актуализировать поименные списки работников, подлежащих прохождению периодического медицинского осмотра, на год;</w:t>
      </w:r>
    </w:p>
    <w:p w:rsidR="00E70C3E" w:rsidRPr="00311D8D" w:rsidRDefault="001E40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 представителем медицинского учреждения по вопросам прохождения работниками Общества предварительных и периодических медицинских осмотров в соответствии с договором об оказании услуг и Порядком проведения обязательных предварительных и периодических медицинских осмотров работников, утвержденным приказом Минздрава от 28.01.2021 № 29н.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3. Начальнику отдела кадров </w:t>
      </w:r>
      <w:r w:rsidR="00311D8D" w:rsidRPr="00311D8D">
        <w:rPr>
          <w:rFonts w:hAnsi="Times New Roman" w:cs="Times New Roman"/>
          <w:color w:val="000000"/>
          <w:sz w:val="24"/>
          <w:szCs w:val="24"/>
          <w:lang w:val="ru-RU"/>
        </w:rPr>
        <w:t>Лободенюк А.А.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0C3E" w:rsidRPr="00311D8D" w:rsidRDefault="001E40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обеспечивать выдачу и регистрацию направлений на прохождение предварительных и периодических медицинских осмотров;</w:t>
      </w:r>
    </w:p>
    <w:p w:rsidR="00E70C3E" w:rsidRPr="00311D8D" w:rsidRDefault="001E40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работников в медицинское учреждение, с которым заключен договор об оказании услуг;</w:t>
      </w:r>
    </w:p>
    <w:p w:rsidR="00E70C3E" w:rsidRPr="00311D8D" w:rsidRDefault="001E40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оформлять трудовой договор с работником только после представления им медицинского заключения о прохождении предварительного медицинского осмотра в медицинском учреждении, с которым заключен договор на оказание услуг;</w:t>
      </w:r>
    </w:p>
    <w:p w:rsidR="00E70C3E" w:rsidRPr="00311D8D" w:rsidRDefault="001E408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доводить до сведения работников Общества, что прохождение периодического медицинского осмотра (обследования) является обязанностью работника (ст.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214 ТК), неявка работника для прохождения медицинского осмотра без уважительных причин является основанием для отстранения от работы, на время отстранения заработная плата не начисляется и не выплачивается (ст.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76 ТК).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4. Руководителям структурных подразделений обеспечивать явку подчиненных работников в соответствии с календарным планом для прохождения ими периодического медицинского осмотра (обследования).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5. Главному бухгалтеру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Яковлевой</w:t>
      </w:r>
      <w:r w:rsidR="00311D8D"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11D8D" w:rsidRPr="00311D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11D8D" w:rsidRPr="00311D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своевременно производить оплату по выставленным контрагентом счетам за прохождение работниками Общества медицинских осмотров.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6. Ответственным лицам в своей работе руководствоваться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и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кодекса, утвержденному приказом Минздрава от 28.01.2021 № 29н.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отдела Семеновой А.О. 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ответственных лиц под подпись.</w:t>
      </w:r>
    </w:p>
    <w:p w:rsidR="00E70C3E" w:rsidRPr="00311D8D" w:rsidRDefault="001E4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возложить на зам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Алексеева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1D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1D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5"/>
        <w:gridCol w:w="2991"/>
        <w:gridCol w:w="2991"/>
      </w:tblGrid>
      <w:tr w:rsidR="00E70C3E" w:rsidRPr="00CD7FAE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Pr="00CD7FAE" w:rsidRDefault="001E40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ООО</w:t>
            </w:r>
            <w:r w:rsidR="00311D8D" w:rsidRPr="00CD7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1D8D" w:rsidRPr="00CD7FAE">
              <w:rPr>
                <w:sz w:val="24"/>
                <w:szCs w:val="24"/>
                <w:lang w:val="ru-RU"/>
              </w:rPr>
              <w:t>«Альтернативная стоматология»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Pr="00CD7FAE" w:rsidRDefault="00311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Щипкова</w:t>
            </w:r>
            <w:proofErr w:type="spellEnd"/>
            <w:r w:rsidR="001E4089" w:rsidRPr="00CD7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E4089" w:rsidRPr="00CD7FA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Pr="00CD7FAE" w:rsidRDefault="00311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Щипкова</w:t>
            </w:r>
            <w:proofErr w:type="spellEnd"/>
          </w:p>
        </w:tc>
      </w:tr>
      <w:tr w:rsidR="00E70C3E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Default="00E70C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Default="00E70C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C3E" w:rsidRDefault="00E70C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089" w:rsidRDefault="001E4089">
      <w:bookmarkStart w:id="0" w:name="_GoBack"/>
      <w:bookmarkEnd w:id="0"/>
    </w:p>
    <w:sectPr w:rsidR="001E40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C2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E4089"/>
    <w:rsid w:val="002A6EC0"/>
    <w:rsid w:val="002D33B1"/>
    <w:rsid w:val="002D3591"/>
    <w:rsid w:val="00311D8D"/>
    <w:rsid w:val="003514A0"/>
    <w:rsid w:val="004F7E17"/>
    <w:rsid w:val="005A05CE"/>
    <w:rsid w:val="00653AF6"/>
    <w:rsid w:val="007A291F"/>
    <w:rsid w:val="009F2B20"/>
    <w:rsid w:val="00B73A5A"/>
    <w:rsid w:val="00CD7FAE"/>
    <w:rsid w:val="00E438A1"/>
    <w:rsid w:val="00E70C3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B11B-AE2F-40C6-9B5A-EF4B1F0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 Шихалева я</cp:lastModifiedBy>
  <cp:revision>4</cp:revision>
  <dcterms:created xsi:type="dcterms:W3CDTF">2021-09-05T15:54:00Z</dcterms:created>
  <dcterms:modified xsi:type="dcterms:W3CDTF">2021-09-05T17:55:00Z</dcterms:modified>
</cp:coreProperties>
</file>